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Региональный компонент в преподавании информатики</w:t>
            </w:r>
          </w:p>
          <w:p>
            <w:pPr>
              <w:jc w:val="center"/>
              <w:spacing w:after="0" w:line="240" w:lineRule="auto"/>
              <w:rPr>
                <w:sz w:val="32"/>
                <w:szCs w:val="32"/>
              </w:rPr>
            </w:pPr>
            <w:r>
              <w:rPr>
                <w:rFonts w:ascii="Times New Roman" w:hAnsi="Times New Roman" w:cs="Times New Roman"/>
                <w:color w:val="#000000"/>
                <w:sz w:val="32"/>
                <w:szCs w:val="32"/>
              </w:rPr>
              <w:t> К.М.06.06.ДВ.01.01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«Региональный компонент в преподавании информатики»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К.М.06.06.ДВ.01.01 «Региональный компонент в преподавании информатики».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«Региональный компонент в преподавании информатики»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ПК-8.12 владеть  современными технологиями, в т.ч. информационными, обеспечивающими качество учебно-воспитательного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ПК-9.4 знать методы влияния и управления командой</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ПК-9.6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ПК-9.7 владеть методами проектной деятельности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К.М.06.06.ДВ.01.01 «Региональный компонент в преподавании информатики» относится к обязательной части, является дисциплиной Блока Б1. «Дисциплины (модули)». Модуль "Содержание и методы обучения в предметной области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037.79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логистических процессов</w:t>
            </w:r>
          </w:p>
          <w:p>
            <w:pPr>
              <w:jc w:val="center"/>
              <w:spacing w:after="0" w:line="240" w:lineRule="auto"/>
              <w:rPr>
                <w:sz w:val="22"/>
                <w:szCs w:val="22"/>
              </w:rPr>
            </w:pPr>
            <w:r>
              <w:rPr>
                <w:rFonts w:ascii="Times New Roman" w:hAnsi="Times New Roman" w:cs="Times New Roman"/>
                <w:color w:val="#000000"/>
                <w:sz w:val="22"/>
                <w:szCs w:val="22"/>
              </w:rPr>
              <w:t> Основы менеджмента в логистике</w:t>
            </w:r>
          </w:p>
          <w:p>
            <w:pPr>
              <w:jc w:val="center"/>
              <w:spacing w:after="0" w:line="240" w:lineRule="auto"/>
              <w:rPr>
                <w:sz w:val="22"/>
                <w:szCs w:val="22"/>
              </w:rPr>
            </w:pPr>
            <w:r>
              <w:rPr>
                <w:rFonts w:ascii="Times New Roman" w:hAnsi="Times New Roman" w:cs="Times New Roman"/>
                <w:color w:val="#000000"/>
                <w:sz w:val="22"/>
                <w:szCs w:val="22"/>
              </w:rPr>
              <w:t> Информационная безопасность</w:t>
            </w:r>
          </w:p>
          <w:p>
            <w:pPr>
              <w:jc w:val="center"/>
              <w:spacing w:after="0" w:line="240" w:lineRule="auto"/>
              <w:rPr>
                <w:sz w:val="22"/>
                <w:szCs w:val="22"/>
              </w:rPr>
            </w:pPr>
            <w:r>
              <w:rPr>
                <w:rFonts w:ascii="Times New Roman" w:hAnsi="Times New Roman" w:cs="Times New Roman"/>
                <w:color w:val="#000000"/>
                <w:sz w:val="22"/>
                <w:szCs w:val="22"/>
              </w:rPr>
              <w:t>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 коммуникационные технологии в обучении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Информационно - коммуникационные технологии в образовании;</w:t>
            </w:r>
          </w:p>
          <w:p>
            <w:pPr>
              <w:jc w:val="center"/>
              <w:spacing w:after="0" w:line="240" w:lineRule="auto"/>
              <w:rPr>
                <w:sz w:val="22"/>
                <w:szCs w:val="22"/>
              </w:rPr>
            </w:pPr>
            <w:r>
              <w:rPr>
                <w:rFonts w:ascii="Times New Roman" w:hAnsi="Times New Roman" w:cs="Times New Roman"/>
                <w:color w:val="#000000"/>
                <w:sz w:val="22"/>
                <w:szCs w:val="22"/>
              </w:rPr>
              <w:t> Современные средства оценивания результатов обучения.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Логистика и управление цепями поставок</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обеспечения логистических процессов</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учебного предмета "Информатика"</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ПК-8, ПК-9</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83</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429.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технология и технические средства автоматизированных систем в условиях</w:t>
            </w:r>
          </w:p>
          <w:p>
            <w:pPr>
              <w:jc w:val="center"/>
              <w:spacing w:after="0" w:line="240" w:lineRule="auto"/>
              <w:rPr>
                <w:sz w:val="24"/>
                <w:szCs w:val="24"/>
              </w:rPr>
            </w:pPr>
            <w:r>
              <w:rPr>
                <w:rFonts w:ascii="Times New Roman" w:hAnsi="Times New Roman" w:cs="Times New Roman"/>
                <w:b/>
                <w:color w:val="#000000"/>
                <w:sz w:val="24"/>
                <w:szCs w:val="24"/>
              </w:rPr>
              <w:t> современного развития профессиональной деятельности</w:t>
            </w:r>
          </w:p>
        </w:tc>
      </w:tr>
      <w:tr>
        <w:trPr>
          <w:trHeight w:hRule="exact" w:val="1099.119"/>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и прикладное программное обеспечение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использования глобальной сети Internet в профессиональной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презентации в программе MS Power Point</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с массивами информации в базе данных MS Access</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обработки числовой информации. Автоматизация калькуляционных расчётов в MS Excel</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Специализированное программное обеспечение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технология и технические средства автоматизированных систем в условиях</w:t>
            </w:r>
          </w:p>
          <w:p>
            <w:pPr>
              <w:jc w:val="center"/>
              <w:spacing w:after="0" w:line="240" w:lineRule="auto"/>
              <w:rPr>
                <w:sz w:val="24"/>
                <w:szCs w:val="24"/>
              </w:rPr>
            </w:pPr>
            <w:r>
              <w:rPr>
                <w:rFonts w:ascii="Times New Roman" w:hAnsi="Times New Roman" w:cs="Times New Roman"/>
                <w:b/>
                <w:color w:val="#000000"/>
                <w:sz w:val="24"/>
                <w:szCs w:val="24"/>
              </w:rPr>
              <w:t> современного развития профессиональной деятельности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и прикладное программное обеспечение</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использования глобальной сети Internet в профессиональной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презентации в программе MS Power Point</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с массивами информации в базе данных MS Access</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обработки числовой информации. Автоматизация калькуляционных расчётов в MS Excel</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Специализированное программное обеспечение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«Региональный компонент в преподавании информатики» / Романова Т.Н..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69.9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2023-2024_ФГОС3++2023_Бак-ЗФО-ПО2(НОиИнф)(23)_plx_Региональный компонент в преподавании информатики</dc:title>
  <dc:creator>FastReport.NET</dc:creator>
</cp:coreProperties>
</file>